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The Ohio State University Human Resources Association (HRA)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Constitution (2025–2026)</w:t>
      </w: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egtrcol8adaf" w:id="0"/>
    <w:bookmarkEnd w:id="0"/>
    <w:p w:rsidR="00000000" w:rsidDel="00000000" w:rsidP="00000000" w:rsidRDefault="00000000" w:rsidRPr="00000000" w14:paraId="00000003">
      <w:pPr>
        <w:pStyle w:val="Heading3"/>
        <w:rPr/>
      </w:pPr>
      <w:r w:rsidDel="00000000" w:rsidR="00000000" w:rsidRPr="00000000">
        <w:rPr>
          <w:b w:val="1"/>
          <w:bCs w:val="1"/>
          <w:rtl w:val="0"/>
        </w:rPr>
        <w:t xml:space="preserve">ARTICLE I – NAME OF ORGANIZATION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name of this organization shall be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The Ohio State University Human Resources Association (HRA)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ip3an4svnw47" w:id="1"/>
    <w:bookmarkEnd w:id="1"/>
    <w:p w:rsidR="00000000" w:rsidDel="00000000" w:rsidP="00000000" w:rsidRDefault="00000000" w:rsidRPr="00000000" w14:paraId="00000006">
      <w:pPr>
        <w:pStyle w:val="Heading3"/>
        <w:rPr/>
      </w:pPr>
      <w:r w:rsidDel="00000000" w:rsidR="00000000" w:rsidRPr="00000000">
        <w:rPr>
          <w:b w:val="1"/>
          <w:bCs w:val="1"/>
          <w:rtl w:val="0"/>
        </w:rPr>
        <w:t xml:space="preserve">ARTICLE II – ORGANIZATION PURPOSE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Mission Statement: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The Ohio State University Human Resources Association (HRA) is dedicated to developing future HR professionals through education, networking, and leadership opportunities that foster growth, inclusion, and career readiness.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Purpose: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The purposes of the organization shall be to: 1. Educate members about trends, practices, and career paths in the field of Human Resources. 2. Facilitate professional development and networking opportunities with HR practitioners, faculty, and industry leaders. 3. Promote leadership, inclusion, and excellence within the HR field. 4. Prepare members for success in their academic and professional careers through applied learning and collaboration.</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9swljax2rgm8" w:id="2"/>
    <w:bookmarkEnd w:id="2"/>
    <w:p w:rsidR="00000000" w:rsidDel="00000000" w:rsidP="00000000" w:rsidRDefault="00000000" w:rsidRPr="00000000" w14:paraId="0000000A">
      <w:pPr>
        <w:pStyle w:val="Heading3"/>
        <w:numPr>
          <w:ilvl w:val="0"/>
          <w:numId w:val="1"/>
        </w:numPr>
        <w:ind w:left="720" w:hanging="360"/>
        <w:rPr>
          <w:b w:val="1"/>
          <w:bCs w:val="1"/>
          <w:u w:val="none"/>
        </w:rPr>
      </w:pPr>
      <w:r w:rsidDel="00000000" w:rsidR="00000000" w:rsidRPr="00000000">
        <w:rPr>
          <w:b w:val="1"/>
          <w:bCs w:val="1"/>
          <w:rtl w:val="0"/>
        </w:rPr>
        <w:t xml:space="preserve">ARTICLE III – UNIVERSITY REGULATIONS</w:t>
      </w:r>
      <w:r w:rsidDel="00000000" w:rsidR="00000000" w:rsidRPr="00000000">
        <w:rPr>
          <w:rtl w:val="0"/>
        </w:rPr>
      </w:r>
    </w:p>
    <w:bookmarkStart w:colFirst="0" w:colLast="0" w:name="bookmark=id.3xt9q0twtv54" w:id="3"/>
    <w:bookmarkEnd w:id="3"/>
    <w:p w:rsidR="00000000" w:rsidDel="00000000" w:rsidP="00000000" w:rsidRDefault="00000000" w:rsidRPr="00000000" w14:paraId="0000000B">
      <w:pPr>
        <w:pStyle w:val="Heading4"/>
        <w:rPr/>
      </w:pPr>
      <w:r w:rsidDel="00000000" w:rsidR="00000000" w:rsidRPr="00000000">
        <w:rPr>
          <w:b w:val="1"/>
          <w:bCs w:val="1"/>
          <w:rtl w:val="0"/>
        </w:rPr>
        <w:t xml:space="preserve">Section A: Harassment and Discrimination (Including Sexual Misconduct)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HRA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Ohio State University’s Student Organization Registration Guidelines.</w:t>
      </w:r>
    </w:p>
    <w:bookmarkStart w:colFirst="0" w:colLast="0" w:name="bookmark=id.ooycqcdyidte" w:id="4"/>
    <w:bookmarkEnd w:id="4"/>
    <w:p w:rsidR="00000000" w:rsidDel="00000000" w:rsidP="00000000" w:rsidRDefault="00000000" w:rsidRPr="00000000" w14:paraId="0000000D">
      <w:pPr>
        <w:pStyle w:val="Heading4"/>
        <w:rPr/>
      </w:pPr>
      <w:r w:rsidDel="00000000" w:rsidR="00000000" w:rsidRPr="00000000">
        <w:rPr>
          <w:b w:val="1"/>
          <w:bCs w:val="1"/>
          <w:rtl w:val="0"/>
        </w:rPr>
        <w:t xml:space="preserve">Section B: Hazing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HRA</w:t>
      </w:r>
      <w:r w:rsidDel="00000000" w:rsidR="00000000" w:rsidRPr="00000000">
        <w:rPr>
          <w:rFonts w:ascii="Aptos" w:cs="Aptos" w:eastAsia="Aptos" w:hAnsi="Aptos"/>
          <w:b w:val="0"/>
          <w:bCs w:val="0"/>
          <w:smallCaps w:val="0"/>
          <w:strike w:val="0"/>
          <w:color w:val="000000"/>
          <w:sz w:val="24"/>
          <w:szCs w:val="24"/>
          <w:u w:val="none"/>
          <w:shd w:fill="auto" w:val="clear"/>
          <w:vertAlign w:val="baseline"/>
          <w:rtl w:val="0"/>
        </w:rPr>
        <w:t xml:space="preserve"> </w:t>
      </w:r>
      <w:r w:rsidDel="00000000" w:rsidR="00000000" w:rsidRPr="00000000">
        <w:rPr>
          <w:sz w:val="27"/>
          <w:szCs w:val="27"/>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bookmarkStart w:colFirst="0" w:colLast="0" w:name="bookmark=id.jq7fegujcwcv" w:id="5"/>
    <w:bookmarkEnd w:id="5"/>
    <w:p w:rsidR="00000000" w:rsidDel="00000000" w:rsidP="00000000" w:rsidRDefault="00000000" w:rsidRPr="00000000" w14:paraId="0000000F">
      <w:pPr>
        <w:pStyle w:val="Heading4"/>
        <w:rPr/>
      </w:pPr>
      <w:r w:rsidDel="00000000" w:rsidR="00000000" w:rsidRPr="00000000">
        <w:rPr>
          <w:b w:val="1"/>
          <w:bCs w:val="1"/>
          <w:rtl w:val="0"/>
        </w:rPr>
        <w:t xml:space="preserve">Section C: Bylaws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HRA</w:t>
      </w:r>
      <w:r w:rsidDel="00000000" w:rsidR="00000000" w:rsidRPr="00000000">
        <w:rPr>
          <w:rFonts w:ascii="Aptos" w:cs="Aptos" w:eastAsia="Aptos" w:hAnsi="Aptos"/>
          <w:b w:val="0"/>
          <w:bCs w:val="0"/>
          <w:smallCaps w:val="0"/>
          <w:strike w:val="0"/>
          <w:color w:val="000000"/>
          <w:sz w:val="24"/>
          <w:szCs w:val="24"/>
          <w:u w:val="none"/>
          <w:shd w:fill="auto" w:val="clear"/>
          <w:vertAlign w:val="baseline"/>
          <w:rtl w:val="0"/>
        </w:rPr>
        <w:t xml:space="preserve"> </w:t>
      </w:r>
      <w:r w:rsidDel="00000000" w:rsidR="00000000" w:rsidRPr="00000000">
        <w:rPr>
          <w:sz w:val="27"/>
          <w:szCs w:val="27"/>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s2x6lj6ns7nt" w:id="6"/>
    <w:bookmarkEnd w:id="6"/>
    <w:p w:rsidR="00000000" w:rsidDel="00000000" w:rsidP="00000000" w:rsidRDefault="00000000" w:rsidRPr="00000000" w14:paraId="00000012">
      <w:pPr>
        <w:pStyle w:val="Heading3"/>
        <w:rPr/>
      </w:pPr>
      <w:r w:rsidDel="00000000" w:rsidR="00000000" w:rsidRPr="00000000">
        <w:rPr>
          <w:b w:val="1"/>
          <w:bCs w:val="1"/>
          <w:rtl w:val="0"/>
        </w:rPr>
        <w:t xml:space="preserve">ARTICLE IV – MEMBERSHIP</w:t>
      </w:r>
      <w:r w:rsidDel="00000000" w:rsidR="00000000" w:rsidRPr="00000000">
        <w:rPr>
          <w:rtl w:val="0"/>
        </w:rPr>
      </w:r>
    </w:p>
    <w:bookmarkStart w:colFirst="0" w:colLast="0" w:name="bookmark=id.3eotvay3kt3z" w:id="7"/>
    <w:bookmarkEnd w:id="7"/>
    <w:p w:rsidR="00000000" w:rsidDel="00000000" w:rsidP="00000000" w:rsidRDefault="00000000" w:rsidRPr="00000000" w14:paraId="00000013">
      <w:pPr>
        <w:pStyle w:val="Heading4"/>
        <w:rPr/>
      </w:pPr>
      <w:r w:rsidDel="00000000" w:rsidR="00000000" w:rsidRPr="00000000">
        <w:rPr>
          <w:b w:val="1"/>
          <w:bCs w:val="1"/>
          <w:rtl w:val="0"/>
        </w:rPr>
        <w:t xml:space="preserve">Section A: Membership Eligibility</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Membership is open to all currently enrolled students at The Ohio State University who have an interest in Human Resources or related fields, regardless of academic major or class standing.</w:t>
      </w:r>
    </w:p>
    <w:bookmarkStart w:colFirst="0" w:colLast="0" w:name="bookmark=kix.5ufwkvapu2jt" w:id="8"/>
    <w:bookmarkEnd w:id="8"/>
    <w:p w:rsidR="00000000" w:rsidDel="00000000" w:rsidP="00000000" w:rsidRDefault="00000000" w:rsidRPr="00000000" w14:paraId="00000015">
      <w:pPr>
        <w:pStyle w:val="Heading4"/>
        <w:rPr/>
      </w:pPr>
      <w:bookmarkStart w:colFirst="0" w:colLast="0" w:name="_heading=h.pegj9ap6ndhy" w:id="9"/>
      <w:bookmarkEnd w:id="9"/>
      <w:r w:rsidDel="00000000" w:rsidR="00000000" w:rsidRPr="00000000">
        <w:rPr>
          <w:b w:val="1"/>
          <w:bCs w:val="1"/>
          <w:rtl w:val="0"/>
        </w:rPr>
        <w:t xml:space="preserve">Section B: Member Selection</w:t>
      </w:r>
      <w:r w:rsidDel="00000000" w:rsidR="00000000" w:rsidRPr="00000000">
        <w:rPr>
          <w:rtl w:val="0"/>
        </w:rPr>
      </w:r>
    </w:p>
    <w:p w:rsidR="00000000" w:rsidDel="00000000" w:rsidP="00000000" w:rsidRDefault="00000000" w:rsidRPr="00000000" w14:paraId="00000016">
      <w:pPr>
        <w:spacing w:after="180" w:before="180" w:lineRule="auto"/>
        <w:rPr/>
      </w:pPr>
      <w:r w:rsidDel="00000000" w:rsidR="00000000" w:rsidRPr="00000000">
        <w:rPr>
          <w:rtl w:val="0"/>
        </w:rPr>
        <w:t xml:space="preserve">To become a member, students must attend an HRA meeting. Members will be asked to pay dues after attending two HRA meetings.</w:t>
      </w:r>
    </w:p>
    <w:bookmarkStart w:colFirst="0" w:colLast="0" w:name="bookmark=kix.z7chebuti2gz" w:id="10"/>
    <w:bookmarkEnd w:id="10"/>
    <w:p w:rsidR="00000000" w:rsidDel="00000000" w:rsidP="00000000" w:rsidRDefault="00000000" w:rsidRPr="00000000" w14:paraId="00000017">
      <w:pPr>
        <w:pStyle w:val="Heading4"/>
        <w:rPr/>
      </w:pPr>
      <w:bookmarkStart w:colFirst="0" w:colLast="0" w:name="_heading=h.nco4ga813po9" w:id="11"/>
      <w:bookmarkEnd w:id="11"/>
      <w:r w:rsidDel="00000000" w:rsidR="00000000" w:rsidRPr="00000000">
        <w:rPr>
          <w:b w:val="1"/>
          <w:bCs w:val="1"/>
          <w:rtl w:val="0"/>
        </w:rPr>
        <w:t xml:space="preserve">Section C: Membership Timeline</w:t>
      </w:r>
      <w:r w:rsidDel="00000000" w:rsidR="00000000" w:rsidRPr="00000000">
        <w:rPr>
          <w:rtl w:val="0"/>
        </w:rPr>
      </w:r>
    </w:p>
    <w:p w:rsidR="00000000" w:rsidDel="00000000" w:rsidP="00000000" w:rsidRDefault="00000000" w:rsidRPr="00000000" w14:paraId="00000018">
      <w:pPr>
        <w:spacing w:after="180" w:before="180" w:lineRule="auto"/>
        <w:rPr/>
      </w:pPr>
      <w:r w:rsidDel="00000000" w:rsidR="00000000" w:rsidRPr="00000000">
        <w:rPr>
          <w:rtl w:val="0"/>
        </w:rPr>
        <w:t xml:space="preserve">Members may join at any time and attend any meeting.</w:t>
      </w:r>
    </w:p>
    <w:bookmarkStart w:colFirst="0" w:colLast="0" w:name="bookmark=id.xqlbvrpavpus" w:id="12"/>
    <w:bookmarkEnd w:id="12"/>
    <w:p w:rsidR="00000000" w:rsidDel="00000000" w:rsidP="00000000" w:rsidRDefault="00000000" w:rsidRPr="00000000" w14:paraId="00000019">
      <w:pPr>
        <w:pStyle w:val="Heading4"/>
        <w:rPr/>
      </w:pPr>
      <w:r w:rsidDel="00000000" w:rsidR="00000000" w:rsidRPr="00000000">
        <w:rPr>
          <w:b w:val="1"/>
          <w:bCs w:val="1"/>
          <w:rtl w:val="0"/>
        </w:rPr>
        <w:t xml:space="preserve">Section D: Member Removal</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Members may be removed from the organization for failure to pay dues, violation of the organization’s code of conduct, or behavior deemed unprofessional or disruptive. Removal requires a majority vote of the Executive Board.</w:t>
      </w:r>
    </w:p>
    <w:bookmarkStart w:colFirst="0" w:colLast="0" w:name="bookmark=kix.3hbr6et8n3zb" w:id="13"/>
    <w:bookmarkEnd w:id="13"/>
    <w:p w:rsidR="00000000" w:rsidDel="00000000" w:rsidP="00000000" w:rsidRDefault="00000000" w:rsidRPr="00000000" w14:paraId="0000001B">
      <w:pPr>
        <w:pStyle w:val="Heading4"/>
        <w:rPr/>
      </w:pPr>
      <w:bookmarkStart w:colFirst="0" w:colLast="0" w:name="_heading=h.jrh3dvi97yes" w:id="14"/>
      <w:bookmarkEnd w:id="14"/>
      <w:r w:rsidDel="00000000" w:rsidR="00000000" w:rsidRPr="00000000">
        <w:rPr>
          <w:b w:val="1"/>
          <w:bCs w:val="1"/>
          <w:rtl w:val="0"/>
        </w:rPr>
        <w:t xml:space="preserve">Section E: Dues</w:t>
      </w:r>
      <w:r w:rsidDel="00000000" w:rsidR="00000000" w:rsidRPr="00000000">
        <w:rPr>
          <w:rtl w:val="0"/>
        </w:rPr>
      </w:r>
    </w:p>
    <w:p w:rsidR="00000000" w:rsidDel="00000000" w:rsidP="00000000" w:rsidRDefault="00000000" w:rsidRPr="00000000" w14:paraId="0000001C">
      <w:pPr>
        <w:spacing w:after="180" w:before="180" w:lineRule="auto"/>
        <w:rPr/>
      </w:pPr>
      <w:r w:rsidDel="00000000" w:rsidR="00000000" w:rsidRPr="00000000">
        <w:rPr>
          <w:rtl w:val="0"/>
        </w:rPr>
        <w:t xml:space="preserve">Dues may be set annually by the Executive Board. As of October 2025, dues are $15 per semester. Members are expected to pay dues after attending two meetings or events.</w:t>
        <w:br w:type="textWrapping"/>
        <w:t xml:space="preserve">To be eligible for an Executive Board or Chair position, members must be in good standing and have paid dues. Members experiencing financial hardship may be exempted from paying dues at the discretion of the Executive Board.</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kegysw35e4lq" w:id="15"/>
    <w:bookmarkEnd w:id="15"/>
    <w:p w:rsidR="00000000" w:rsidDel="00000000" w:rsidP="00000000" w:rsidRDefault="00000000" w:rsidRPr="00000000" w14:paraId="0000001E">
      <w:pPr>
        <w:pStyle w:val="Heading3"/>
        <w:rPr/>
      </w:pPr>
      <w:r w:rsidDel="00000000" w:rsidR="00000000" w:rsidRPr="00000000">
        <w:rPr>
          <w:b w:val="1"/>
          <w:bCs w:val="1"/>
          <w:rtl w:val="0"/>
        </w:rPr>
        <w:t xml:space="preserve">ARTICLE V – ADVISOR</w:t>
      </w:r>
      <w:r w:rsidDel="00000000" w:rsidR="00000000" w:rsidRPr="00000000">
        <w:rPr>
          <w:rtl w:val="0"/>
        </w:rPr>
      </w:r>
    </w:p>
    <w:bookmarkStart w:colFirst="0" w:colLast="0" w:name="bookmark=id.wjyx8rvosofa" w:id="16"/>
    <w:bookmarkEnd w:id="16"/>
    <w:p w:rsidR="00000000" w:rsidDel="00000000" w:rsidP="00000000" w:rsidRDefault="00000000" w:rsidRPr="00000000" w14:paraId="0000001F">
      <w:pPr>
        <w:pStyle w:val="Heading4"/>
        <w:rPr/>
      </w:pPr>
      <w:r w:rsidDel="00000000" w:rsidR="00000000" w:rsidRPr="00000000">
        <w:rPr>
          <w:b w:val="1"/>
          <w:bCs w:val="1"/>
          <w:rtl w:val="0"/>
        </w:rPr>
        <w:t xml:space="preserve">Section A: Advisor Duties and Responsibilities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advisor shall: - Provide guidance to the Executive Board and membership. - Serve as a liaison between the organization and the university. - Ensure organizational compliance with university policies and procedures.</w:t>
      </w:r>
    </w:p>
    <w:bookmarkStart w:colFirst="0" w:colLast="0" w:name="bookmark=id.3yjikac2vrpj" w:id="17"/>
    <w:bookmarkEnd w:id="17"/>
    <w:p w:rsidR="00000000" w:rsidDel="00000000" w:rsidP="00000000" w:rsidRDefault="00000000" w:rsidRPr="00000000" w14:paraId="00000021">
      <w:pPr>
        <w:pStyle w:val="Heading4"/>
        <w:rPr/>
      </w:pPr>
      <w:r w:rsidDel="00000000" w:rsidR="00000000" w:rsidRPr="00000000">
        <w:rPr>
          <w:b w:val="1"/>
          <w:bCs w:val="1"/>
          <w:rtl w:val="0"/>
        </w:rPr>
        <w:t xml:space="preserve">Section B: Advisor Term</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advisor shall serve for a minimum of one academic year. The term may be renewed upon mutual agreement between the advisor and the Executive Board.</w:t>
      </w:r>
    </w:p>
    <w:bookmarkStart w:colFirst="0" w:colLast="0" w:name="bookmark=id.1tdumu6jt6up" w:id="18"/>
    <w:bookmarkEnd w:id="18"/>
    <w:p w:rsidR="00000000" w:rsidDel="00000000" w:rsidP="00000000" w:rsidRDefault="00000000" w:rsidRPr="00000000" w14:paraId="00000023">
      <w:pPr>
        <w:pStyle w:val="Heading4"/>
        <w:rPr/>
      </w:pPr>
      <w:r w:rsidDel="00000000" w:rsidR="00000000" w:rsidRPr="00000000">
        <w:rPr>
          <w:b w:val="1"/>
          <w:bCs w:val="1"/>
          <w:rtl w:val="0"/>
        </w:rPr>
        <w:t xml:space="preserve">Section C: Advisor Selection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Executive Board shall select the advisor based on professional expertise and willingness to serve</w:t>
      </w:r>
      <w:r w:rsidDel="00000000" w:rsidR="00000000" w:rsidRPr="00000000">
        <w:rPr>
          <w:rtl w:val="0"/>
        </w:rPr>
        <w:t xml:space="preserve">. Any member may recommend a potential advisor for review. The Executive Board may also contact faculty members regarding their willingness to serve. Executive Board members will host a meeting with an advisor candidate, which will be followed by a vote.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advisor shall be approved by a majority vote of the Executive Board.</w:t>
      </w:r>
    </w:p>
    <w:bookmarkStart w:colFirst="0" w:colLast="0" w:name="bookmark=id.w56s0s5vkkop" w:id="19"/>
    <w:bookmarkEnd w:id="19"/>
    <w:p w:rsidR="00000000" w:rsidDel="00000000" w:rsidP="00000000" w:rsidRDefault="00000000" w:rsidRPr="00000000" w14:paraId="00000025">
      <w:pPr>
        <w:pStyle w:val="Heading4"/>
        <w:rPr/>
      </w:pPr>
      <w:r w:rsidDel="00000000" w:rsidR="00000000" w:rsidRPr="00000000">
        <w:rPr>
          <w:b w:val="1"/>
          <w:bCs w:val="1"/>
          <w:rtl w:val="0"/>
        </w:rPr>
        <w:t xml:space="preserve">Section D: Advisor Replacement</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the advisor steps down or is unable to fulfill their duties, the Executive Board shall select a replacement</w:t>
      </w:r>
      <w:r w:rsidDel="00000000" w:rsidR="00000000" w:rsidRPr="00000000">
        <w:rPr>
          <w:rtl w:val="0"/>
        </w:rPr>
        <w:t xml:space="preserve"> using the process outlined in Article V Section C.</w:t>
      </w: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jbzdbuy3s1i2" w:id="20"/>
    <w:bookmarkEnd w:id="20"/>
    <w:p w:rsidR="00000000" w:rsidDel="00000000" w:rsidP="00000000" w:rsidRDefault="00000000" w:rsidRPr="00000000" w14:paraId="00000028">
      <w:pPr>
        <w:pStyle w:val="Heading3"/>
        <w:rPr/>
      </w:pPr>
      <w:r w:rsidDel="00000000" w:rsidR="00000000" w:rsidRPr="00000000">
        <w:rPr>
          <w:b w:val="1"/>
          <w:bCs w:val="1"/>
          <w:rtl w:val="0"/>
        </w:rPr>
        <w:t xml:space="preserve">ARTICLE VI – ORGANIZATION LEADERSHIP</w:t>
      </w:r>
      <w:r w:rsidDel="00000000" w:rsidR="00000000" w:rsidRPr="00000000">
        <w:rPr>
          <w:rtl w:val="0"/>
        </w:rPr>
      </w:r>
    </w:p>
    <w:bookmarkStart w:colFirst="0" w:colLast="0" w:name="bookmark=id.2avidealtjgj" w:id="21"/>
    <w:bookmarkEnd w:id="21"/>
    <w:p w:rsidR="00000000" w:rsidDel="00000000" w:rsidP="00000000" w:rsidRDefault="00000000" w:rsidRPr="00000000" w14:paraId="00000029">
      <w:pPr>
        <w:pStyle w:val="Heading4"/>
        <w:rPr/>
      </w:pPr>
      <w:r w:rsidDel="00000000" w:rsidR="00000000" w:rsidRPr="00000000">
        <w:rPr>
          <w:b w:val="1"/>
          <w:bCs w:val="1"/>
          <w:rtl w:val="0"/>
        </w:rPr>
        <w:t xml:space="preserve">Section A: Officer Positions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Executive Board shall consist of the following officers: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President: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Serves as chief executive officer, presides over meetings, represents HRA at university functions, and ensures organizational goals are achieved.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Vice President of Finance: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Oversees financial affairs, maintains budgets and expenditures, and reports financial updates to the Executive Board.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Vice President of Programming: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Organizes guest speakers, company visits, and professional development programming. -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Vice President of Public Relations: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Manages social media, marketing, and communication with members and external partners.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Executive Board has discretion to create Chair positions and other non-executive roles as needed. These positions will be filled through an application process determined by the Executive Board.</w:t>
      </w:r>
    </w:p>
    <w:bookmarkStart w:colFirst="0" w:colLast="0" w:name="bookmark=id.6l7cdcdh2xh" w:id="22"/>
    <w:bookmarkEnd w:id="22"/>
    <w:p w:rsidR="00000000" w:rsidDel="00000000" w:rsidP="00000000" w:rsidRDefault="00000000" w:rsidRPr="00000000" w14:paraId="0000002C">
      <w:pPr>
        <w:pStyle w:val="Heading4"/>
        <w:rPr/>
      </w:pPr>
      <w:r w:rsidDel="00000000" w:rsidR="00000000" w:rsidRPr="00000000">
        <w:rPr>
          <w:b w:val="1"/>
          <w:bCs w:val="1"/>
          <w:rtl w:val="0"/>
        </w:rPr>
        <w:t xml:space="preserve">Section B: Voting Rights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Executive Board members are voting members. Chair and non-executive positions are non-voting unless granted voting rights by the Executive Board.</w:t>
      </w:r>
    </w:p>
    <w:bookmarkStart w:colFirst="0" w:colLast="0" w:name="bookmark=id.i3mfssvri2e9" w:id="23"/>
    <w:bookmarkEnd w:id="23"/>
    <w:p w:rsidR="00000000" w:rsidDel="00000000" w:rsidP="00000000" w:rsidRDefault="00000000" w:rsidRPr="00000000" w14:paraId="0000002E">
      <w:pPr>
        <w:pStyle w:val="Heading4"/>
        <w:rPr/>
      </w:pPr>
      <w:r w:rsidDel="00000000" w:rsidR="00000000" w:rsidRPr="00000000">
        <w:rPr>
          <w:b w:val="1"/>
          <w:bCs w:val="1"/>
          <w:rtl w:val="0"/>
        </w:rPr>
        <w:t xml:space="preserve">Section C: Officer Eligibility</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be eligible for election or appointment, members must be in good standing and have paid dues, unless granted exemption due to financial hardship by the Executive Board.</w:t>
      </w:r>
    </w:p>
    <w:bookmarkStart w:colFirst="0" w:colLast="0" w:name="bookmark=id.b92na4a8nong" w:id="24"/>
    <w:bookmarkEnd w:id="24"/>
    <w:p w:rsidR="00000000" w:rsidDel="00000000" w:rsidP="00000000" w:rsidRDefault="00000000" w:rsidRPr="00000000" w14:paraId="00000030">
      <w:pPr>
        <w:pStyle w:val="Heading4"/>
        <w:rPr/>
      </w:pPr>
      <w:r w:rsidDel="00000000" w:rsidR="00000000" w:rsidRPr="00000000">
        <w:rPr>
          <w:b w:val="1"/>
          <w:bCs w:val="1"/>
          <w:rtl w:val="0"/>
        </w:rPr>
        <w:t xml:space="preserve">Section D: Officer Selection and Elections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Elections shall be held at the end of the spring semester. Nominations may be made by members or self-nominated. Voting shall occur by simple majority of members present.</w:t>
      </w:r>
    </w:p>
    <w:bookmarkStart w:colFirst="0" w:colLast="0" w:name="bookmark=id.422blhltwf7k" w:id="25"/>
    <w:bookmarkEnd w:id="25"/>
    <w:p w:rsidR="00000000" w:rsidDel="00000000" w:rsidP="00000000" w:rsidRDefault="00000000" w:rsidRPr="00000000" w14:paraId="00000032">
      <w:pPr>
        <w:pStyle w:val="Heading4"/>
        <w:rPr/>
      </w:pPr>
      <w:r w:rsidDel="00000000" w:rsidR="00000000" w:rsidRPr="00000000">
        <w:rPr>
          <w:b w:val="1"/>
          <w:bCs w:val="1"/>
          <w:rtl w:val="0"/>
        </w:rPr>
        <w:t xml:space="preserve">Section E: Vacancies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 the event of a vacancy, a special election will be held to fill the position for the remainder of the term.</w:t>
      </w:r>
    </w:p>
    <w:bookmarkStart w:colFirst="0" w:colLast="0" w:name="bookmark=id.47m2aygrs3a0" w:id="26"/>
    <w:bookmarkEnd w:id="26"/>
    <w:p w:rsidR="00000000" w:rsidDel="00000000" w:rsidP="00000000" w:rsidRDefault="00000000" w:rsidRPr="00000000" w14:paraId="00000034">
      <w:pPr>
        <w:pStyle w:val="Heading4"/>
        <w:rPr/>
      </w:pPr>
      <w:r w:rsidDel="00000000" w:rsidR="00000000" w:rsidRPr="00000000">
        <w:rPr>
          <w:b w:val="1"/>
          <w:bCs w:val="1"/>
          <w:rtl w:val="0"/>
        </w:rPr>
        <w:t xml:space="preserve">Section F: Officer Removal</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 officer may be removed for failure to perform duties or unprofessional conduct by a majority vote of the Executive Board.</w:t>
      </w:r>
    </w:p>
    <w:bookmarkStart w:colFirst="0" w:colLast="0" w:name="bookmark=id.66gurxur3qt7" w:id="27"/>
    <w:bookmarkEnd w:id="27"/>
    <w:p w:rsidR="00000000" w:rsidDel="00000000" w:rsidP="00000000" w:rsidRDefault="00000000" w:rsidRPr="00000000" w14:paraId="00000036">
      <w:pPr>
        <w:pStyle w:val="Heading4"/>
        <w:rPr/>
      </w:pPr>
      <w:r w:rsidDel="00000000" w:rsidR="00000000" w:rsidRPr="00000000">
        <w:rPr>
          <w:b w:val="1"/>
          <w:bCs w:val="1"/>
          <w:rtl w:val="0"/>
        </w:rPr>
        <w:t xml:space="preserve">Section G: Officer Transition</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Outgoing officers must ensure a smooth transition by transferring all necessary documents, passwords, and organizational knowledge to incoming officers before the end of the spring semester.</w:t>
      </w:r>
    </w:p>
    <w:bookmarkStart w:colFirst="0" w:colLast="0" w:name="bookmark=id.qmjd4uoiqmxs" w:id="28"/>
    <w:bookmarkEnd w:id="28"/>
    <w:p w:rsidR="00000000" w:rsidDel="00000000" w:rsidP="00000000" w:rsidRDefault="00000000" w:rsidRPr="00000000" w14:paraId="00000038">
      <w:pPr>
        <w:pStyle w:val="Heading4"/>
        <w:rPr/>
      </w:pPr>
      <w:r w:rsidDel="00000000" w:rsidR="00000000" w:rsidRPr="00000000">
        <w:rPr>
          <w:b w:val="1"/>
          <w:bCs w:val="1"/>
          <w:rtl w:val="0"/>
        </w:rPr>
        <w:t xml:space="preserve">Section H: Conflict of Interest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Executive Board members must recuse themselves from voting on matters where they have a direct personal or financial interest.</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t6ce9ri3omgc" w:id="29"/>
    <w:bookmarkEnd w:id="29"/>
    <w:p w:rsidR="00000000" w:rsidDel="00000000" w:rsidP="00000000" w:rsidRDefault="00000000" w:rsidRPr="00000000" w14:paraId="0000003B">
      <w:pPr>
        <w:pStyle w:val="Heading3"/>
        <w:rPr/>
      </w:pPr>
      <w:r w:rsidDel="00000000" w:rsidR="00000000" w:rsidRPr="00000000">
        <w:rPr>
          <w:b w:val="1"/>
          <w:bCs w:val="1"/>
          <w:rtl w:val="0"/>
        </w:rPr>
        <w:t xml:space="preserve">ARTICLE VII – ORGANIZATION DISSOLUTION</w:t>
      </w:r>
      <w:r w:rsidDel="00000000" w:rsidR="00000000" w:rsidRPr="00000000">
        <w:rPr>
          <w:rtl w:val="0"/>
        </w:rPr>
      </w:r>
    </w:p>
    <w:bookmarkStart w:colFirst="0" w:colLast="0" w:name="bookmark=id.6ljgg3p6ie83" w:id="30"/>
    <w:bookmarkEnd w:id="30"/>
    <w:p w:rsidR="00000000" w:rsidDel="00000000" w:rsidP="00000000" w:rsidRDefault="00000000" w:rsidRPr="00000000" w14:paraId="0000003C">
      <w:pPr>
        <w:pStyle w:val="Heading4"/>
        <w:rPr/>
      </w:pPr>
      <w:r w:rsidDel="00000000" w:rsidR="00000000" w:rsidRPr="00000000">
        <w:rPr>
          <w:b w:val="1"/>
          <w:bCs w:val="1"/>
          <w:rtl w:val="0"/>
        </w:rPr>
        <w:t xml:space="preserve">Section A: Dissolution Requirements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HRA may be dissolved upon a majority vote of the active membership or by university mandate.</w:t>
      </w:r>
    </w:p>
    <w:bookmarkStart w:colFirst="0" w:colLast="0" w:name="bookmark=id.jfzt8zo0vafo" w:id="31"/>
    <w:bookmarkEnd w:id="31"/>
    <w:p w:rsidR="00000000" w:rsidDel="00000000" w:rsidP="00000000" w:rsidRDefault="00000000" w:rsidRPr="00000000" w14:paraId="0000003E">
      <w:pPr>
        <w:pStyle w:val="Heading4"/>
        <w:rPr/>
      </w:pPr>
      <w:r w:rsidDel="00000000" w:rsidR="00000000" w:rsidRPr="00000000">
        <w:rPr>
          <w:b w:val="1"/>
          <w:bCs w:val="1"/>
          <w:rtl w:val="0"/>
        </w:rPr>
        <w:t xml:space="preserve">Section B: Dissolution Procedures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Upon dissolution, all debts shall be settled</w:t>
      </w:r>
      <w:r w:rsidDel="00000000" w:rsidR="00000000" w:rsidRPr="00000000">
        <w:rPr>
          <w:rtl w:val="0"/>
        </w:rPr>
        <w:t xml:space="preserve">. Debts shall be paid using the HRA’s account through U.S. bank. Any 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emaining assets shall be donated to an HR-related student organization or campus cause, as determined by the Executive Board.</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3e80iee15p9p" w:id="32"/>
    <w:bookmarkEnd w:id="32"/>
    <w:p w:rsidR="00000000" w:rsidDel="00000000" w:rsidP="00000000" w:rsidRDefault="00000000" w:rsidRPr="00000000" w14:paraId="00000041">
      <w:pPr>
        <w:pStyle w:val="Heading3"/>
        <w:rPr/>
      </w:pPr>
      <w:r w:rsidDel="00000000" w:rsidR="00000000" w:rsidRPr="00000000">
        <w:rPr>
          <w:b w:val="1"/>
          <w:bCs w:val="1"/>
          <w:rtl w:val="0"/>
        </w:rPr>
        <w:t xml:space="preserve">ARTICLE VIII – CONSTITUTIONAL AMENDMENTS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Amendments may be proposed by any member in good standing and must be approved by a majority vote of the active membership.</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w6u2zs27tpln" w:id="33"/>
    <w:bookmarkEnd w:id="33"/>
    <w:p w:rsidR="00000000" w:rsidDel="00000000" w:rsidP="00000000" w:rsidRDefault="00000000" w:rsidRPr="00000000" w14:paraId="00000044">
      <w:pPr>
        <w:pStyle w:val="Heading3"/>
        <w:rPr/>
      </w:pPr>
      <w:r w:rsidDel="00000000" w:rsidR="00000000" w:rsidRPr="00000000">
        <w:rPr>
          <w:b w:val="1"/>
          <w:bCs w:val="1"/>
          <w:rtl w:val="0"/>
        </w:rPr>
        <w:t xml:space="preserve">ARTICLE IX – DIVERSITY, EQUITY, AND INCLUSION STATEMENT</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HRA is committed to fostering a diverse and inclusive community that celebrates all backgrounds, identities, and perspectives as essential to the success of the Human Resources profession.</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n546oi3vbqoy" w:id="34"/>
    <w:bookmarkEnd w:id="34"/>
    <w:p w:rsidR="00000000" w:rsidDel="00000000" w:rsidP="00000000" w:rsidRDefault="00000000" w:rsidRPr="00000000" w14:paraId="00000047">
      <w:pPr>
        <w:pStyle w:val="Heading3"/>
        <w:rPr/>
      </w:pPr>
      <w:r w:rsidDel="00000000" w:rsidR="00000000" w:rsidRPr="00000000">
        <w:rPr>
          <w:b w:val="1"/>
          <w:bCs w:val="1"/>
          <w:rtl w:val="0"/>
        </w:rPr>
        <w:t xml:space="preserve">ARTICLE X – CODE OF CONDUCT</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members are expected to uphold The Ohio State University’s Code of Student Conduct and represent HRA with professionalism, respect, and integrity.</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3hYw08LcTePyMcRYBPSGV2Ajw==">CgMxLjAyD2lkLmVndHJjb2w4YWRhZjIPaWQuaXAzYW40c3ZudzQ3Mg9pZC45c3dsamF4MnJnbTgyD2lkLjN4dDlxMHR3dHY1NDIPaWQub295Y3FjZHlpZHRlMg9pZC5qcTdmZWd1amN3Y3YyD2lkLnMyeDZsajZuczdudDIPaWQuM2VvdHZheTNrdDN6MhBraXguNXVmd2t2YXB1Mmp0Mg5oLnBlZ2o5YXA2bmRoeTIQa2l4Lno3Y2hlYnV0aTJnejIOaC5uY280Z2E4MTNwbzkyD2lkLnhxbGJ2cnBhdnB1czIQa2l4LjNoYnI2ZXQ4bjN6YjIOaC5qcmgzZHZpOTd5ZXMyD2lkLmtlZ3lzdzM1ZTRscTIPaWQud2p5eDhydm9zb2ZhMg9pZC4zeWppa2FjMnZycGoyD2lkLjF0ZHVtdTZqdDZ1cDIPaWQudzU2czBzNXZra29wMg9pZC5qYnpkYnV5M3MxaTIyD2lkLjJhdmlkZWFsdGpnajIOaWQuNmw3Y2RjZGgyeGgyD2lkLmkzbWZzc3ZyaTJlOTIPaWQuYjkybmE0YThub25nMg9pZC40MjJibGhsdHdmN2syD2lkLjQ3bTJheWdyczNhMDIPaWQuNjZndXJ4dXIzcXQ3Mg9pZC5xbWpkNHVvaXFteHMyD2lkLnQ2Y2U5cmkzb21nYzIPaWQuNmxqZ2czcDZpZTgzMg9pZC5qZnp0OHpvMHZhZm8yD2lkLjNlODBpZWUxNXA5cDIPaWQudzZ1MnpzMjd0cGxuMg9pZC5uNTQ2b2kzdmJxb3k4AHIhMTFoZjZtcjdhZVJrd3IzU0VIbzhYamN1R1Y4bkg1bD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2025-10-21T23:41:07Z</dcterms:created>
</cp:coreProperties>
</file>

<file path=docProps/custom.xml><?xml version="1.0" encoding="utf-8"?>
<Properties xmlns="http://schemas.openxmlformats.org/officeDocument/2006/custom-properties" xmlns:vt="http://schemas.openxmlformats.org/officeDocument/2006/docPropsVTypes"/>
</file>