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E8367"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color w:val="000000"/>
          <w:sz w:val="20"/>
          <w:szCs w:val="20"/>
          <w:u w:val="single"/>
        </w:rPr>
        <w:t>Buckeye Olympics Constitution </w:t>
      </w:r>
    </w:p>
    <w:p w14:paraId="0D03C669"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l - Name, Purpose, and Non-Discrimination Policy of the Organization.</w:t>
      </w:r>
    </w:p>
    <w:p w14:paraId="64DF6244"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color w:val="000000"/>
          <w:sz w:val="20"/>
          <w:szCs w:val="20"/>
        </w:rPr>
        <w:t>Section 1: Name</w:t>
      </w:r>
      <w:r w:rsidRPr="00491A60">
        <w:rPr>
          <w:rFonts w:ascii="Arial" w:hAnsi="Arial" w:cs="Arial"/>
          <w:color w:val="000000"/>
          <w:sz w:val="20"/>
          <w:szCs w:val="20"/>
        </w:rPr>
        <w:t>:</w:t>
      </w:r>
      <w:r w:rsidRPr="00491A60">
        <w:rPr>
          <w:rFonts w:ascii="Arial" w:hAnsi="Arial" w:cs="Arial"/>
          <w:i/>
          <w:iCs/>
          <w:color w:val="000000"/>
          <w:sz w:val="20"/>
          <w:szCs w:val="20"/>
        </w:rPr>
        <w:t xml:space="preserve"> Buckeye Olympics</w:t>
      </w:r>
    </w:p>
    <w:p w14:paraId="68C9A66A"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color w:val="000000"/>
          <w:sz w:val="20"/>
          <w:szCs w:val="20"/>
        </w:rPr>
        <w:t xml:space="preserve">Section 2 - Purpose: </w:t>
      </w:r>
      <w:r w:rsidRPr="00491A60">
        <w:rPr>
          <w:rFonts w:ascii="Arial" w:hAnsi="Arial" w:cs="Arial"/>
          <w:i/>
          <w:iCs/>
          <w:color w:val="000000"/>
          <w:sz w:val="20"/>
          <w:szCs w:val="20"/>
        </w:rPr>
        <w:t>Buckeye Olympics is an organization focused on athletic competition in a variety of sports for Ohio State students with intellectual or physical disabilities. We strive to achieve this through an annual all-day Buckeye Olympics event held in the Spring semester, which will be made possible through year-round fundraising and athletic training for the students. Our goal is to encourage inclusion, confidence, sportsmanship, physical fitness, and teamwork. </w:t>
      </w:r>
    </w:p>
    <w:p w14:paraId="1B0216F0"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color w:val="000000"/>
          <w:sz w:val="20"/>
          <w:szCs w:val="20"/>
        </w:rPr>
        <w:t xml:space="preserve">Section 3 - Non-Discrimination Policy: </w:t>
      </w:r>
      <w:bookmarkStart w:id="0" w:name="_GoBack"/>
      <w:bookmarkEnd w:id="0"/>
      <w:r w:rsidRPr="00491A60">
        <w:rPr>
          <w:rFonts w:ascii="Arial" w:hAnsi="Arial" w:cs="Arial"/>
          <w:i/>
          <w:iCs/>
          <w:color w:val="000000"/>
          <w:sz w:val="20"/>
          <w:szCs w:val="20"/>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3A36B447"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w:t>
      </w:r>
      <w:proofErr w:type="spellStart"/>
      <w:proofErr w:type="gramStart"/>
      <w:r w:rsidRPr="00491A60">
        <w:rPr>
          <w:rFonts w:ascii="Arial" w:hAnsi="Arial" w:cs="Arial"/>
          <w:i/>
          <w:iCs/>
          <w:color w:val="000000"/>
          <w:sz w:val="20"/>
          <w:szCs w:val="20"/>
        </w:rPr>
        <w:t>activities,programs</w:t>
      </w:r>
      <w:proofErr w:type="spellEnd"/>
      <w:proofErr w:type="gramEnd"/>
      <w:r w:rsidRPr="00491A60">
        <w:rPr>
          <w:rFonts w:ascii="Arial" w:hAnsi="Arial" w:cs="Arial"/>
          <w:i/>
          <w:iCs/>
          <w:color w:val="000000"/>
          <w:sz w:val="20"/>
          <w:szCs w:val="20"/>
        </w:rPr>
        <w:t>, admission, and employment.”</w:t>
      </w:r>
    </w:p>
    <w:p w14:paraId="5FAEDF62"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2BC9967"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As a student organization at The Ohio State University, Buckeye Olympics, expects its members to conduct themselves in a manner that maintains an environment free from sexual misconduct. All members are responsible for adhering to University Policy 1.15, which can be found here: https://hr.osu.edu/public/documents/policy/policy115.pdf.</w:t>
      </w:r>
    </w:p>
    <w:p w14:paraId="2855E65A"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If you or someone you know has been sexually harassed or assaulted, you may find the appropriate resources at http://titleIX.osu.edu or by contacting the Ohio State Title IX Coordinator at titleIX@osu.edu</w:t>
      </w:r>
      <w:r w:rsidRPr="00491A60">
        <w:rPr>
          <w:rFonts w:ascii="Arial" w:hAnsi="Arial" w:cs="Arial"/>
          <w:b/>
          <w:bCs/>
          <w:i/>
          <w:iCs/>
          <w:color w:val="000000"/>
          <w:sz w:val="20"/>
          <w:szCs w:val="20"/>
        </w:rPr>
        <w:t>.</w:t>
      </w:r>
    </w:p>
    <w:p w14:paraId="0272CDAF"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II - Membership: Qualifications and categories of membershi</w:t>
      </w:r>
      <w:r>
        <w:rPr>
          <w:rFonts w:ascii="Arial" w:hAnsi="Arial" w:cs="Arial"/>
          <w:b/>
          <w:bCs/>
          <w:i/>
          <w:iCs/>
          <w:color w:val="000000"/>
          <w:sz w:val="20"/>
          <w:szCs w:val="20"/>
        </w:rPr>
        <w:t>p.</w:t>
      </w:r>
    </w:p>
    <w:p w14:paraId="094974E4" w14:textId="77777777" w:rsidR="00491A60" w:rsidRPr="00491A60" w:rsidRDefault="00491A60" w:rsidP="00491A60">
      <w:pPr>
        <w:spacing w:before="240" w:after="240"/>
        <w:rPr>
          <w:rFonts w:ascii="-webkit-standard" w:hAnsi="-webkit-standard" w:cs="Times New Roman"/>
          <w:color w:val="000000"/>
        </w:rPr>
      </w:pPr>
      <w:proofErr w:type="spellStart"/>
      <w:r w:rsidRPr="00491A60">
        <w:rPr>
          <w:rFonts w:ascii="Arial" w:hAnsi="Arial" w:cs="Arial"/>
          <w:i/>
          <w:iCs/>
          <w:color w:val="000000"/>
          <w:sz w:val="20"/>
          <w:szCs w:val="20"/>
        </w:rPr>
        <w:t>II.a</w:t>
      </w:r>
      <w:proofErr w:type="spellEnd"/>
      <w:r w:rsidRPr="00491A60">
        <w:rPr>
          <w:rFonts w:ascii="Arial" w:hAnsi="Arial" w:cs="Arial"/>
          <w:i/>
          <w:iCs/>
          <w:color w:val="000000"/>
          <w:sz w:val="20"/>
          <w:szCs w:val="20"/>
        </w:rPr>
        <w:t>. As required by the Guidelines for Student Organizations, 90% of the membership of a student organization must include current Ohio State University students. Active members and the Executive Committee are able to make decisions regarding the membership of the community and other non-student members of an organization. Active members are determined by an application-based system that selects individuals aligned with the mission of the Buckeye Olympics organization. Community or other non-student members may be temporarily suspended with a majority vote of the Executive Committee.</w:t>
      </w:r>
    </w:p>
    <w:p w14:paraId="6215F8CA"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III – Methods for Removing Members and Executive Officers</w:t>
      </w:r>
    </w:p>
    <w:p w14:paraId="7FF6436C" w14:textId="77777777" w:rsidR="00491A60" w:rsidRPr="00491A60" w:rsidRDefault="00491A60" w:rsidP="00491A60">
      <w:pPr>
        <w:spacing w:before="240" w:after="240"/>
        <w:rPr>
          <w:rFonts w:ascii="-webkit-standard" w:hAnsi="-webkit-standard" w:cs="Times New Roman"/>
          <w:color w:val="000000"/>
        </w:rPr>
      </w:pPr>
      <w:proofErr w:type="spellStart"/>
      <w:r w:rsidRPr="00491A60">
        <w:rPr>
          <w:rFonts w:ascii="Arial" w:hAnsi="Arial" w:cs="Arial"/>
          <w:color w:val="000000"/>
          <w:sz w:val="20"/>
          <w:szCs w:val="20"/>
        </w:rPr>
        <w:t>III.a</w:t>
      </w:r>
      <w:proofErr w:type="spellEnd"/>
      <w:r w:rsidRPr="00491A60">
        <w:rPr>
          <w:rFonts w:ascii="Arial" w:hAnsi="Arial" w:cs="Arial"/>
          <w:color w:val="000000"/>
          <w:sz w:val="20"/>
          <w:szCs w:val="20"/>
        </w:rPr>
        <w:t xml:space="preserve">. </w:t>
      </w:r>
      <w:r w:rsidRPr="00491A60">
        <w:rPr>
          <w:rFonts w:ascii="Arial" w:hAnsi="Arial" w:cs="Arial"/>
          <w:i/>
          <w:iCs/>
          <w:color w:val="000000"/>
          <w:sz w:val="20"/>
          <w:szCs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2585864A" w14:textId="77777777" w:rsidR="00491A60" w:rsidRPr="00491A60" w:rsidRDefault="00491A60" w:rsidP="00491A60">
      <w:pPr>
        <w:spacing w:before="240" w:after="240"/>
        <w:rPr>
          <w:rFonts w:ascii="-webkit-standard" w:hAnsi="-webkit-standard" w:cs="Times New Roman"/>
          <w:color w:val="000000"/>
        </w:rPr>
      </w:pPr>
      <w:proofErr w:type="spellStart"/>
      <w:r w:rsidRPr="00491A60">
        <w:rPr>
          <w:rFonts w:ascii="Arial" w:hAnsi="Arial" w:cs="Arial"/>
          <w:color w:val="000000"/>
          <w:sz w:val="20"/>
          <w:szCs w:val="20"/>
        </w:rPr>
        <w:lastRenderedPageBreak/>
        <w:t>III.b</w:t>
      </w:r>
      <w:proofErr w:type="spellEnd"/>
      <w:r w:rsidRPr="00491A60">
        <w:rPr>
          <w:rFonts w:ascii="Arial" w:hAnsi="Arial" w:cs="Arial"/>
          <w:color w:val="000000"/>
          <w:sz w:val="20"/>
          <w:szCs w:val="20"/>
        </w:rPr>
        <w:t xml:space="preserve">. </w:t>
      </w:r>
      <w:r w:rsidRPr="00491A60">
        <w:rPr>
          <w:rFonts w:ascii="Arial" w:hAnsi="Arial" w:cs="Arial"/>
          <w:i/>
          <w:iCs/>
          <w:color w:val="000000"/>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E7D88B2" w14:textId="77777777" w:rsidR="00491A60" w:rsidRPr="00491A60" w:rsidRDefault="00491A60" w:rsidP="00491A60">
      <w:pPr>
        <w:spacing w:before="240" w:after="240"/>
        <w:rPr>
          <w:rFonts w:ascii="-webkit-standard" w:hAnsi="-webkit-standard" w:cs="Times New Roman"/>
          <w:color w:val="000000"/>
        </w:rPr>
      </w:pPr>
      <w:proofErr w:type="spellStart"/>
      <w:r w:rsidRPr="00491A60">
        <w:rPr>
          <w:rFonts w:ascii="Arial" w:hAnsi="Arial" w:cs="Arial"/>
          <w:i/>
          <w:iCs/>
          <w:color w:val="000000"/>
          <w:sz w:val="20"/>
          <w:szCs w:val="20"/>
        </w:rPr>
        <w:t>III.c</w:t>
      </w:r>
      <w:proofErr w:type="spellEnd"/>
      <w:r w:rsidRPr="00491A60">
        <w:rPr>
          <w:rFonts w:ascii="Arial" w:hAnsi="Arial" w:cs="Arial"/>
          <w:i/>
          <w:iCs/>
          <w:color w:val="000000"/>
          <w:sz w:val="20"/>
          <w:szCs w:val="20"/>
        </w:rPr>
        <w:t>.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F1D6E8"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 xml:space="preserve">Article IV - Organization Leadership: </w:t>
      </w:r>
      <w:r w:rsidRPr="00491A60">
        <w:rPr>
          <w:rFonts w:ascii="Arial" w:hAnsi="Arial" w:cs="Arial"/>
          <w:i/>
          <w:iCs/>
          <w:color w:val="000000"/>
          <w:sz w:val="20"/>
          <w:szCs w:val="20"/>
        </w:rPr>
        <w:t>Titles, terms of office, type of selection, and duties of the leaders</w:t>
      </w:r>
    </w:p>
    <w:p w14:paraId="58CE2546"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Section 1: The executive board is in charge of management and all major decision making for the organization.  It is tasked with defining specific organizational goals within the purpose of the organization, and then developing strategies for achieving these goals.  The Board will also handle any other issues which may arise concerning the organization. The Executive Board will meet every other week outside of the General Body Meetings. The President stands as a neutral body and will be the deciding factor for major decisions in the organization. The Secondary Leader will oversee the Auxiliary Board and provide meeting minutes for each meeting. The Treasurer has all access to all accounts regarding the organization and controls all transactions.</w:t>
      </w:r>
    </w:p>
    <w:p w14:paraId="7778C199"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Section 2: Executive Board members will hold their positions for the entirety of the Academic Calendar and will be elected March of the previous year and be given time and training throughout the summer in order to prepare for the positions. Elections will be guided by the current executive board. In the event that an Executive Board member is re-running for their position, the Advisor will serve as a neutral body and help elect the following year’s executive board.</w:t>
      </w:r>
    </w:p>
    <w:p w14:paraId="6EA807B6"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V- Election / Selection of Organization Leadership</w:t>
      </w:r>
    </w:p>
    <w:p w14:paraId="3F3CB825"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Organization Leadership will be determined by the previous executive committee. Individuals interested in being elected for a leadership position must embody the mission of the Buckeye Olympics organization and have shown commitment to the organization in the past. </w:t>
      </w:r>
    </w:p>
    <w:p w14:paraId="177133FE"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VI - Executive Committee: Size and composition of the Committee.</w:t>
      </w:r>
    </w:p>
    <w:p w14:paraId="6CE454DD"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The Executive Committee represents the general membership, conducts business of the organization between general meetings of the membership, and reports its actions at the general meetings of the membership. The executive committee will be made of the current Executive Board, the previous Executive Board, any founders (if present), and the advisor. </w:t>
      </w:r>
    </w:p>
    <w:p w14:paraId="0E9887F7"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VII - Standing Committees (if needed): Names, purposes, and composition.</w:t>
      </w:r>
    </w:p>
    <w:p w14:paraId="0CA4D4F1"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Different aspects of the organization will be primarily tasked to individuals holding chair positions. These chair positions include a Social Chair, Fundraising Chair, and Logistics Chair. The Social Chair is responsible for maintaining the organization’s social media platforms, social events, and/or marketing of events held by the organization. The Fundraising Chair is responsible for organizing and conducting fundraising events to raise money for the Buckeye Olympics event held during the year. The Logistics Chair is responsible for organizing th</w:t>
      </w:r>
      <w:r>
        <w:rPr>
          <w:rFonts w:ascii="Arial" w:hAnsi="Arial" w:cs="Arial"/>
          <w:i/>
          <w:iCs/>
          <w:color w:val="000000"/>
          <w:sz w:val="20"/>
          <w:szCs w:val="20"/>
        </w:rPr>
        <w:t>e Buckeye Olympics event</w:t>
      </w:r>
      <w:r w:rsidRPr="00491A60">
        <w:rPr>
          <w:rFonts w:ascii="Arial" w:hAnsi="Arial" w:cs="Arial"/>
          <w:i/>
          <w:iCs/>
          <w:color w:val="000000"/>
          <w:sz w:val="20"/>
          <w:szCs w:val="20"/>
        </w:rPr>
        <w:t>, as well as bi-weekly training sessions for Buckeye Olympics participants in a variety of recreational sports present in the event. </w:t>
      </w:r>
    </w:p>
    <w:p w14:paraId="2A89DC99"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VIII – Advisor(s) or Advisory Board: Qualification Criteria.</w:t>
      </w:r>
    </w:p>
    <w:p w14:paraId="05E09228"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VIII. The advisor of the Buckeye Olympics organization is a full-time Ohio State University faculty member who is responsible for the general oversight of the organization and serves as a neutral body during Organization Leadership elections if necessary. The advisor is also responsible for resolving any disputes within the organization regarding the Constitution.</w:t>
      </w:r>
    </w:p>
    <w:p w14:paraId="1353C154"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IX – Meetings and events of the Organization: Required meetings and their frequency.</w:t>
      </w:r>
    </w:p>
    <w:p w14:paraId="0F2C8138"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IX. Two general meetings and attendance at all or 50% of events hosted is required for membership each academic term. In order to run for an executive board position, the person running must attend 75% of all meetings as a minimum. </w:t>
      </w:r>
    </w:p>
    <w:p w14:paraId="396602AF"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X – Attendees of Events of the Organization: Required events and their frequency.</w:t>
      </w:r>
    </w:p>
    <w:p w14:paraId="1981B60A"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X. The Buckeye Olympics organization reserves the right to address member or event attendee behavior where the member or event attendee’s behavior is disruptive or otherwise not in alignment with the organization’s constitution. Buckeye Olympics members are expected to attend bi-weekly general body meetings to the best of their ability and contribute to different aspects of the organization, such as fundraising, marketing, and volunteering at Buckeye Olympic events when necessary.</w:t>
      </w:r>
    </w:p>
    <w:p w14:paraId="20315588"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XI – Method of Amending Constitution: Proposals, notice, and voting requirements.</w:t>
      </w:r>
    </w:p>
    <w:p w14:paraId="1FAB0937"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XI. Any proposed amendments should be presented to the organization in writing and should not be acted upon when initially introduced. Upon initial introduction, the proposed amendments must be approved by the Executive Board and advisor before any further action. If approved, it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7F8D4F67"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b/>
          <w:bCs/>
          <w:i/>
          <w:iCs/>
          <w:color w:val="000000"/>
          <w:sz w:val="20"/>
          <w:szCs w:val="20"/>
        </w:rPr>
        <w:t>Article XII – Method of Dissolution of Organization</w:t>
      </w:r>
    </w:p>
    <w:p w14:paraId="6B2C2D1C"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i/>
          <w:iCs/>
          <w:color w:val="000000"/>
          <w:sz w:val="20"/>
          <w:szCs w:val="20"/>
        </w:rPr>
        <w:t>If this organization was to be dissolved, the Executive Board will handle the distribution of many left-over resources as they choose. The advisor shall look over and handle all and any debt and the treasurer shall hand over all of the receipts kept in order to establish the flow of money. The Secondary Leader must let the school board know that this organization has hereby been dissolved and the page must be removed from the Student Organization Directory. </w:t>
      </w:r>
    </w:p>
    <w:p w14:paraId="18CB6D68" w14:textId="77777777" w:rsidR="00491A60" w:rsidRPr="00491A60" w:rsidRDefault="00491A60" w:rsidP="00491A60">
      <w:pPr>
        <w:spacing w:before="240" w:after="240"/>
        <w:rPr>
          <w:rFonts w:ascii="-webkit-standard" w:hAnsi="-webkit-standard" w:cs="Times New Roman"/>
          <w:color w:val="000000"/>
        </w:rPr>
      </w:pPr>
      <w:r w:rsidRPr="00491A60">
        <w:rPr>
          <w:rFonts w:ascii="Arial" w:hAnsi="Arial" w:cs="Arial"/>
          <w:color w:val="000000"/>
          <w:sz w:val="16"/>
          <w:szCs w:val="16"/>
        </w:rPr>
        <w:t>Constitution Rev. 3/18/2020</w:t>
      </w:r>
    </w:p>
    <w:p w14:paraId="4F30E75A" w14:textId="77777777" w:rsidR="00491A60" w:rsidRPr="00491A60" w:rsidRDefault="00491A60" w:rsidP="00491A60">
      <w:pPr>
        <w:spacing w:after="240"/>
        <w:rPr>
          <w:rFonts w:ascii="Times New Roman" w:eastAsia="Times New Roman" w:hAnsi="Times New Roman" w:cs="Times New Roman"/>
        </w:rPr>
      </w:pPr>
    </w:p>
    <w:p w14:paraId="222846DB" w14:textId="77777777" w:rsidR="00491A60" w:rsidRPr="00491A60" w:rsidRDefault="00491A60" w:rsidP="00491A60">
      <w:pPr>
        <w:spacing w:after="240"/>
        <w:rPr>
          <w:rFonts w:ascii="Times New Roman" w:eastAsia="Times New Roman" w:hAnsi="Times New Roman" w:cs="Times New Roman"/>
        </w:rPr>
      </w:pPr>
    </w:p>
    <w:p w14:paraId="7E330D41" w14:textId="77777777" w:rsidR="00491A60" w:rsidRPr="00491A60" w:rsidRDefault="00491A60" w:rsidP="00491A60">
      <w:pPr>
        <w:spacing w:after="240"/>
        <w:rPr>
          <w:rFonts w:ascii="Times New Roman" w:eastAsia="Times New Roman" w:hAnsi="Times New Roman" w:cs="Times New Roman"/>
        </w:rPr>
      </w:pPr>
    </w:p>
    <w:p w14:paraId="079084AE" w14:textId="77777777" w:rsidR="00491A60" w:rsidRPr="00491A60" w:rsidRDefault="00491A60" w:rsidP="00491A60">
      <w:pPr>
        <w:spacing w:after="240"/>
        <w:rPr>
          <w:rFonts w:ascii="Times New Roman" w:eastAsia="Times New Roman" w:hAnsi="Times New Roman" w:cs="Times New Roman"/>
        </w:rPr>
      </w:pPr>
    </w:p>
    <w:p w14:paraId="4E3EC9AC" w14:textId="77777777" w:rsidR="0055341D" w:rsidRDefault="00491A60"/>
    <w:sectPr w:rsidR="0055341D" w:rsidSect="0021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0"/>
    <w:rsid w:val="00030B80"/>
    <w:rsid w:val="00057D1E"/>
    <w:rsid w:val="00070BBA"/>
    <w:rsid w:val="00072679"/>
    <w:rsid w:val="000E3641"/>
    <w:rsid w:val="00147DDD"/>
    <w:rsid w:val="001A6F83"/>
    <w:rsid w:val="001F0CA9"/>
    <w:rsid w:val="00217638"/>
    <w:rsid w:val="0023184D"/>
    <w:rsid w:val="00253296"/>
    <w:rsid w:val="002A7C1E"/>
    <w:rsid w:val="002D3A6F"/>
    <w:rsid w:val="00345A2D"/>
    <w:rsid w:val="00491A60"/>
    <w:rsid w:val="00492EA1"/>
    <w:rsid w:val="004A4912"/>
    <w:rsid w:val="00516379"/>
    <w:rsid w:val="00531AFB"/>
    <w:rsid w:val="005C4986"/>
    <w:rsid w:val="00601DC4"/>
    <w:rsid w:val="00606580"/>
    <w:rsid w:val="00675EAC"/>
    <w:rsid w:val="00691D71"/>
    <w:rsid w:val="00710312"/>
    <w:rsid w:val="007232F9"/>
    <w:rsid w:val="007702A2"/>
    <w:rsid w:val="00777DC3"/>
    <w:rsid w:val="007A2AF1"/>
    <w:rsid w:val="007F7F66"/>
    <w:rsid w:val="00801E0A"/>
    <w:rsid w:val="008349A4"/>
    <w:rsid w:val="00877F66"/>
    <w:rsid w:val="0088390A"/>
    <w:rsid w:val="008A0C5E"/>
    <w:rsid w:val="008A4AE0"/>
    <w:rsid w:val="009F7D26"/>
    <w:rsid w:val="00A04917"/>
    <w:rsid w:val="00A37A82"/>
    <w:rsid w:val="00B134B1"/>
    <w:rsid w:val="00B569CB"/>
    <w:rsid w:val="00B73152"/>
    <w:rsid w:val="00BA21C4"/>
    <w:rsid w:val="00BC7142"/>
    <w:rsid w:val="00BE17E9"/>
    <w:rsid w:val="00BE454B"/>
    <w:rsid w:val="00C041C8"/>
    <w:rsid w:val="00C376C3"/>
    <w:rsid w:val="00C40149"/>
    <w:rsid w:val="00DF139F"/>
    <w:rsid w:val="00EA4D4A"/>
    <w:rsid w:val="00F7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2D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A6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84">
      <w:bodyDiv w:val="1"/>
      <w:marLeft w:val="0"/>
      <w:marRight w:val="0"/>
      <w:marTop w:val="0"/>
      <w:marBottom w:val="0"/>
      <w:divBdr>
        <w:top w:val="none" w:sz="0" w:space="0" w:color="auto"/>
        <w:left w:val="none" w:sz="0" w:space="0" w:color="auto"/>
        <w:bottom w:val="none" w:sz="0" w:space="0" w:color="auto"/>
        <w:right w:val="none" w:sz="0" w:space="0" w:color="auto"/>
      </w:divBdr>
    </w:div>
    <w:div w:id="291719259">
      <w:bodyDiv w:val="1"/>
      <w:marLeft w:val="0"/>
      <w:marRight w:val="0"/>
      <w:marTop w:val="0"/>
      <w:marBottom w:val="0"/>
      <w:divBdr>
        <w:top w:val="none" w:sz="0" w:space="0" w:color="auto"/>
        <w:left w:val="none" w:sz="0" w:space="0" w:color="auto"/>
        <w:bottom w:val="none" w:sz="0" w:space="0" w:color="auto"/>
        <w:right w:val="none" w:sz="0" w:space="0" w:color="auto"/>
      </w:divBdr>
    </w:div>
    <w:div w:id="328951709">
      <w:bodyDiv w:val="1"/>
      <w:marLeft w:val="0"/>
      <w:marRight w:val="0"/>
      <w:marTop w:val="0"/>
      <w:marBottom w:val="0"/>
      <w:divBdr>
        <w:top w:val="none" w:sz="0" w:space="0" w:color="auto"/>
        <w:left w:val="none" w:sz="0" w:space="0" w:color="auto"/>
        <w:bottom w:val="none" w:sz="0" w:space="0" w:color="auto"/>
        <w:right w:val="none" w:sz="0" w:space="0" w:color="auto"/>
      </w:divBdr>
    </w:div>
    <w:div w:id="597443934">
      <w:bodyDiv w:val="1"/>
      <w:marLeft w:val="0"/>
      <w:marRight w:val="0"/>
      <w:marTop w:val="0"/>
      <w:marBottom w:val="0"/>
      <w:divBdr>
        <w:top w:val="none" w:sz="0" w:space="0" w:color="auto"/>
        <w:left w:val="none" w:sz="0" w:space="0" w:color="auto"/>
        <w:bottom w:val="none" w:sz="0" w:space="0" w:color="auto"/>
        <w:right w:val="none" w:sz="0" w:space="0" w:color="auto"/>
      </w:divBdr>
    </w:div>
    <w:div w:id="782455039">
      <w:bodyDiv w:val="1"/>
      <w:marLeft w:val="0"/>
      <w:marRight w:val="0"/>
      <w:marTop w:val="0"/>
      <w:marBottom w:val="0"/>
      <w:divBdr>
        <w:top w:val="none" w:sz="0" w:space="0" w:color="auto"/>
        <w:left w:val="none" w:sz="0" w:space="0" w:color="auto"/>
        <w:bottom w:val="none" w:sz="0" w:space="0" w:color="auto"/>
        <w:right w:val="none" w:sz="0" w:space="0" w:color="auto"/>
      </w:divBdr>
    </w:div>
    <w:div w:id="805700974">
      <w:bodyDiv w:val="1"/>
      <w:marLeft w:val="0"/>
      <w:marRight w:val="0"/>
      <w:marTop w:val="0"/>
      <w:marBottom w:val="0"/>
      <w:divBdr>
        <w:top w:val="none" w:sz="0" w:space="0" w:color="auto"/>
        <w:left w:val="none" w:sz="0" w:space="0" w:color="auto"/>
        <w:bottom w:val="none" w:sz="0" w:space="0" w:color="auto"/>
        <w:right w:val="none" w:sz="0" w:space="0" w:color="auto"/>
      </w:divBdr>
    </w:div>
    <w:div w:id="1325742793">
      <w:bodyDiv w:val="1"/>
      <w:marLeft w:val="0"/>
      <w:marRight w:val="0"/>
      <w:marTop w:val="0"/>
      <w:marBottom w:val="0"/>
      <w:divBdr>
        <w:top w:val="none" w:sz="0" w:space="0" w:color="auto"/>
        <w:left w:val="none" w:sz="0" w:space="0" w:color="auto"/>
        <w:bottom w:val="none" w:sz="0" w:space="0" w:color="auto"/>
        <w:right w:val="none" w:sz="0" w:space="0" w:color="auto"/>
      </w:divBdr>
    </w:div>
    <w:div w:id="1386219483">
      <w:bodyDiv w:val="1"/>
      <w:marLeft w:val="0"/>
      <w:marRight w:val="0"/>
      <w:marTop w:val="0"/>
      <w:marBottom w:val="0"/>
      <w:divBdr>
        <w:top w:val="none" w:sz="0" w:space="0" w:color="auto"/>
        <w:left w:val="none" w:sz="0" w:space="0" w:color="auto"/>
        <w:bottom w:val="none" w:sz="0" w:space="0" w:color="auto"/>
        <w:right w:val="none" w:sz="0" w:space="0" w:color="auto"/>
      </w:divBdr>
    </w:div>
    <w:div w:id="1393651107">
      <w:bodyDiv w:val="1"/>
      <w:marLeft w:val="0"/>
      <w:marRight w:val="0"/>
      <w:marTop w:val="0"/>
      <w:marBottom w:val="0"/>
      <w:divBdr>
        <w:top w:val="none" w:sz="0" w:space="0" w:color="auto"/>
        <w:left w:val="none" w:sz="0" w:space="0" w:color="auto"/>
        <w:bottom w:val="none" w:sz="0" w:space="0" w:color="auto"/>
        <w:right w:val="none" w:sz="0" w:space="0" w:color="auto"/>
      </w:divBdr>
    </w:div>
    <w:div w:id="1402410502">
      <w:bodyDiv w:val="1"/>
      <w:marLeft w:val="0"/>
      <w:marRight w:val="0"/>
      <w:marTop w:val="0"/>
      <w:marBottom w:val="0"/>
      <w:divBdr>
        <w:top w:val="none" w:sz="0" w:space="0" w:color="auto"/>
        <w:left w:val="none" w:sz="0" w:space="0" w:color="auto"/>
        <w:bottom w:val="none" w:sz="0" w:space="0" w:color="auto"/>
        <w:right w:val="none" w:sz="0" w:space="0" w:color="auto"/>
      </w:divBdr>
    </w:div>
    <w:div w:id="1552615350">
      <w:bodyDiv w:val="1"/>
      <w:marLeft w:val="0"/>
      <w:marRight w:val="0"/>
      <w:marTop w:val="0"/>
      <w:marBottom w:val="0"/>
      <w:divBdr>
        <w:top w:val="none" w:sz="0" w:space="0" w:color="auto"/>
        <w:left w:val="none" w:sz="0" w:space="0" w:color="auto"/>
        <w:bottom w:val="none" w:sz="0" w:space="0" w:color="auto"/>
        <w:right w:val="none" w:sz="0" w:space="0" w:color="auto"/>
      </w:divBdr>
    </w:div>
    <w:div w:id="1917788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1473</Words>
  <Characters>8400</Characters>
  <Application>Microsoft Macintosh Word</Application>
  <DocSecurity>0</DocSecurity>
  <Lines>70</Lines>
  <Paragraphs>19</Paragraphs>
  <ScaleCrop>false</ScaleCrop>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2020-03-18T21:03:00Z</dcterms:created>
  <dcterms:modified xsi:type="dcterms:W3CDTF">2020-03-18T21:12:00Z</dcterms:modified>
</cp:coreProperties>
</file>